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DCBF6">
      <w:pPr>
        <w:tabs>
          <w:tab w:val="left" w:pos="0"/>
        </w:tabs>
        <w:spacing w:line="360" w:lineRule="auto"/>
        <w:rPr>
          <w:rFonts w:ascii="仿宋" w:hAnsi="仿宋" w:eastAsia="仿宋"/>
          <w:b/>
          <w:color w:val="auto"/>
          <w:sz w:val="28"/>
          <w:szCs w:val="28"/>
        </w:rPr>
      </w:pPr>
      <w:r>
        <w:rPr>
          <w:rFonts w:hint="eastAsia" w:ascii="仿宋_GB2312" w:hAnsi="仿宋_GB2312" w:eastAsia="仿宋_GB2312" w:cs="仿宋_GB2312"/>
          <w:b/>
          <w:color w:val="auto"/>
          <w:sz w:val="32"/>
          <w:szCs w:val="32"/>
        </w:rPr>
        <w:t>附件2（非全日制MPA）</w:t>
      </w:r>
    </w:p>
    <w:p w14:paraId="5EDA22D3">
      <w:pPr>
        <w:pStyle w:val="2"/>
        <w:spacing w:line="360" w:lineRule="auto"/>
        <w:jc w:val="center"/>
        <w:rPr>
          <w:rFonts w:ascii="仿宋" w:hAnsi="仿宋" w:eastAsia="仿宋"/>
          <w:color w:val="auto"/>
          <w:sz w:val="32"/>
          <w:szCs w:val="32"/>
        </w:rPr>
      </w:pPr>
      <w:r>
        <w:rPr>
          <w:rFonts w:hint="eastAsia" w:ascii="仿宋" w:hAnsi="仿宋" w:eastAsia="仿宋"/>
          <w:b/>
          <w:color w:val="auto"/>
          <w:sz w:val="32"/>
          <w:szCs w:val="32"/>
        </w:rPr>
        <w:t>告  知  书</w:t>
      </w:r>
    </w:p>
    <w:p w14:paraId="0A2B46CB">
      <w:pPr>
        <w:pStyle w:val="2"/>
        <w:spacing w:line="360" w:lineRule="auto"/>
        <w:jc w:val="center"/>
        <w:rPr>
          <w:rFonts w:ascii="仿宋" w:hAnsi="仿宋" w:eastAsia="仿宋"/>
          <w:color w:val="auto"/>
          <w:sz w:val="21"/>
          <w:szCs w:val="21"/>
        </w:rPr>
      </w:pPr>
      <w:r>
        <w:rPr>
          <w:rFonts w:hint="eastAsia" w:ascii="仿宋" w:hAnsi="仿宋" w:eastAsia="仿宋"/>
          <w:color w:val="auto"/>
          <w:sz w:val="21"/>
          <w:szCs w:val="21"/>
        </w:rPr>
        <w:t>（致报考北京师范大学政府管理学院</w:t>
      </w:r>
      <w:r>
        <w:rPr>
          <w:rFonts w:hint="eastAsia" w:ascii="仿宋" w:hAnsi="仿宋" w:eastAsia="仿宋"/>
          <w:color w:val="auto"/>
          <w:sz w:val="21"/>
          <w:szCs w:val="21"/>
          <w:lang w:eastAsia="zh-CN"/>
        </w:rPr>
        <w:t>2025</w:t>
      </w:r>
      <w:r>
        <w:rPr>
          <w:rFonts w:hint="eastAsia" w:ascii="仿宋" w:hAnsi="仿宋" w:eastAsia="仿宋"/>
          <w:color w:val="auto"/>
          <w:sz w:val="21"/>
          <w:szCs w:val="21"/>
        </w:rPr>
        <w:t>年非全日制</w:t>
      </w:r>
      <w:r>
        <w:rPr>
          <w:rFonts w:ascii="仿宋" w:hAnsi="仿宋" w:eastAsia="仿宋" w:cs="仿宋"/>
          <w:color w:val="auto"/>
          <w:sz w:val="21"/>
          <w:shd w:val="clear" w:color="auto" w:fill="FFFFFF"/>
        </w:rPr>
        <w:t>公共管理专业学位硕士研究生</w:t>
      </w:r>
      <w:r>
        <w:rPr>
          <w:rFonts w:hint="eastAsia" w:ascii="仿宋" w:hAnsi="仿宋" w:eastAsia="仿宋"/>
          <w:color w:val="auto"/>
          <w:sz w:val="21"/>
          <w:szCs w:val="21"/>
        </w:rPr>
        <w:t>考生）</w:t>
      </w:r>
    </w:p>
    <w:p w14:paraId="379F1C75">
      <w:pPr>
        <w:pStyle w:val="2"/>
        <w:spacing w:beforeAutospacing="0" w:afterAutospacing="0" w:line="360" w:lineRule="auto"/>
        <w:rPr>
          <w:rFonts w:ascii="仿宋" w:hAnsi="仿宋" w:eastAsia="仿宋"/>
          <w:color w:val="auto"/>
        </w:rPr>
      </w:pPr>
      <w:r>
        <w:rPr>
          <w:rFonts w:hint="eastAsia" w:ascii="仿宋" w:hAnsi="仿宋" w:eastAsia="仿宋"/>
          <w:color w:val="auto"/>
        </w:rPr>
        <w:t>尊敬的考生：</w:t>
      </w:r>
    </w:p>
    <w:p w14:paraId="54C2DC82">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您好！欢迎您报考北京师范大学政府管理学院非全日制公共管理专业学位硕士研究生。现将</w:t>
      </w:r>
      <w:r>
        <w:rPr>
          <w:rFonts w:hint="eastAsia" w:ascii="仿宋" w:hAnsi="仿宋" w:eastAsia="仿宋"/>
          <w:color w:val="auto"/>
          <w:lang w:eastAsia="zh-CN"/>
        </w:rPr>
        <w:t>2025</w:t>
      </w:r>
      <w:r>
        <w:rPr>
          <w:rFonts w:hint="eastAsia" w:ascii="仿宋" w:hAnsi="仿宋" w:eastAsia="仿宋"/>
          <w:color w:val="auto"/>
        </w:rPr>
        <w:t>年北京师范大学政府管理学院非全日制公共管理专业学位硕士研究生</w:t>
      </w:r>
      <w:r>
        <w:rPr>
          <w:rFonts w:hint="eastAsia" w:ascii="仿宋" w:hAnsi="仿宋" w:eastAsia="仿宋"/>
          <w:color w:val="auto"/>
          <w:lang w:val="en-US" w:eastAsia="zh-CN"/>
        </w:rPr>
        <w:t>学制</w:t>
      </w:r>
      <w:r>
        <w:rPr>
          <w:rFonts w:hint="eastAsia" w:ascii="仿宋" w:hAnsi="仿宋" w:eastAsia="仿宋"/>
          <w:color w:val="auto"/>
        </w:rPr>
        <w:t>、住宿、录取类别、学习方式等事项周知于您，请您务必了解。</w:t>
      </w:r>
    </w:p>
    <w:p w14:paraId="42989366">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1、</w:t>
      </w:r>
      <w:r>
        <w:rPr>
          <w:rFonts w:hint="eastAsia" w:ascii="仿宋" w:hAnsi="仿宋" w:eastAsia="仿宋"/>
          <w:color w:val="auto"/>
          <w:lang w:val="en-US" w:eastAsia="zh-CN"/>
        </w:rPr>
        <w:t>学制</w:t>
      </w:r>
      <w:r>
        <w:rPr>
          <w:rFonts w:hint="eastAsia" w:ascii="仿宋" w:hAnsi="仿宋" w:eastAsia="仿宋"/>
          <w:color w:val="auto"/>
        </w:rPr>
        <w:t>：</w:t>
      </w:r>
      <w:r>
        <w:rPr>
          <w:rFonts w:hint="eastAsia" w:ascii="仿宋" w:hAnsi="仿宋" w:eastAsia="仿宋"/>
          <w:color w:val="auto"/>
          <w:lang w:val="en-US" w:eastAsia="zh-CN"/>
        </w:rPr>
        <w:t>3</w:t>
      </w:r>
      <w:r>
        <w:rPr>
          <w:rFonts w:hint="eastAsia" w:ascii="仿宋" w:hAnsi="仿宋" w:eastAsia="仿宋"/>
          <w:color w:val="auto"/>
        </w:rPr>
        <w:t>年。</w:t>
      </w:r>
    </w:p>
    <w:p w14:paraId="7B7C5BFF">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2、住宿：学校不安排住宿，需自行解决。</w:t>
      </w:r>
    </w:p>
    <w:p w14:paraId="52451F15">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3、录取类别：录取类别为定向就业。</w:t>
      </w:r>
    </w:p>
    <w:p w14:paraId="6DB3D2EF">
      <w:pPr>
        <w:pStyle w:val="2"/>
        <w:spacing w:beforeAutospacing="0" w:afterAutospacing="0" w:line="360" w:lineRule="auto"/>
        <w:ind w:firstLine="465"/>
        <w:rPr>
          <w:rFonts w:hint="default" w:ascii="仿宋" w:hAnsi="仿宋" w:eastAsia="仿宋"/>
          <w:color w:val="auto"/>
          <w:lang w:val="en-US" w:eastAsia="zh-CN"/>
        </w:rPr>
      </w:pPr>
      <w:r>
        <w:rPr>
          <w:rFonts w:hint="eastAsia" w:ascii="仿宋" w:hAnsi="仿宋" w:eastAsia="仿宋"/>
          <w:color w:val="auto"/>
        </w:rPr>
        <w:t>定向就业硕士生的人事档案、户口均不迁入北师大，毕业后必须回定向单位就业。定向就业的硕士研究生均须在被录取前与招生单位、用人单位分别签订定向就业协议。考生需自行处理与工作或学习单位因考试录取而产生的所有问题。如果因此造成不能复试或录取，我校不承担责任。</w:t>
      </w:r>
    </w:p>
    <w:p w14:paraId="0EF13F59">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4、学习方式：非全日制。</w:t>
      </w:r>
    </w:p>
    <w:p w14:paraId="0A679E1D">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根据《</w:t>
      </w:r>
      <w:r>
        <w:rPr>
          <w:rFonts w:ascii="仿宋" w:hAnsi="仿宋" w:eastAsia="仿宋"/>
          <w:color w:val="auto"/>
        </w:rPr>
        <w:t>教育部办公厅关于统筹全日制和非全日制研究生管理工作的通知</w:t>
      </w:r>
      <w:r>
        <w:rPr>
          <w:rFonts w:hint="eastAsia" w:ascii="仿宋" w:hAnsi="仿宋" w:eastAsia="仿宋"/>
          <w:color w:val="auto"/>
        </w:rPr>
        <w:t>》</w:t>
      </w:r>
      <w:r>
        <w:rPr>
          <w:rFonts w:ascii="仿宋" w:hAnsi="仿宋" w:eastAsia="仿宋"/>
          <w:color w:val="auto"/>
        </w:rPr>
        <w:t>文件规定</w:t>
      </w:r>
      <w:r>
        <w:rPr>
          <w:rFonts w:hint="eastAsia" w:ascii="仿宋" w:hAnsi="仿宋" w:eastAsia="仿宋"/>
          <w:color w:val="auto"/>
        </w:rPr>
        <w:t>，</w:t>
      </w:r>
      <w:r>
        <w:rPr>
          <w:rFonts w:hint="eastAsia" w:ascii="仿宋" w:hAnsi="仿宋" w:eastAsia="仿宋"/>
          <w:color w:val="auto"/>
          <w:lang w:eastAsia="zh-CN"/>
        </w:rPr>
        <w:t>2025</w:t>
      </w:r>
      <w:r>
        <w:rPr>
          <w:rFonts w:hint="eastAsia" w:ascii="仿宋" w:hAnsi="仿宋" w:eastAsia="仿宋"/>
          <w:color w:val="auto"/>
        </w:rPr>
        <w:t>年招收的MPA学生，其毕业证书上将注明“非全日制”学习方式。</w:t>
      </w:r>
    </w:p>
    <w:p w14:paraId="59D53BE9">
      <w:pPr>
        <w:pStyle w:val="2"/>
        <w:spacing w:beforeAutospacing="0" w:afterAutospacing="0" w:line="360" w:lineRule="auto"/>
        <w:ind w:firstLine="465"/>
        <w:jc w:val="both"/>
        <w:rPr>
          <w:rFonts w:ascii="仿宋" w:hAnsi="仿宋" w:eastAsia="仿宋"/>
          <w:color w:val="auto"/>
        </w:rPr>
      </w:pPr>
      <w:r>
        <w:rPr>
          <w:rFonts w:hint="eastAsia" w:ascii="仿宋" w:hAnsi="仿宋" w:eastAsia="仿宋"/>
          <w:color w:val="auto"/>
        </w:rPr>
        <w:t>5、研究方向：我院</w:t>
      </w:r>
      <w:r>
        <w:rPr>
          <w:rFonts w:hint="eastAsia" w:ascii="仿宋" w:hAnsi="仿宋" w:eastAsia="仿宋"/>
          <w:color w:val="auto"/>
          <w:lang w:eastAsia="zh-CN"/>
        </w:rPr>
        <w:t>2025</w:t>
      </w:r>
      <w:r>
        <w:rPr>
          <w:rFonts w:hint="eastAsia" w:ascii="仿宋" w:hAnsi="仿宋" w:eastAsia="仿宋"/>
          <w:color w:val="auto"/>
        </w:rPr>
        <w:t>年MPA学生将在入学后确认方向。</w:t>
      </w:r>
    </w:p>
    <w:p w14:paraId="4B4F76B5">
      <w:pPr>
        <w:pStyle w:val="2"/>
        <w:spacing w:beforeAutospacing="0" w:afterAutospacing="0" w:line="360" w:lineRule="auto"/>
        <w:ind w:firstLine="465"/>
        <w:rPr>
          <w:rFonts w:ascii="仿宋" w:hAnsi="仿宋" w:eastAsia="仿宋"/>
          <w:color w:val="auto"/>
        </w:rPr>
      </w:pPr>
      <w:r>
        <w:rPr>
          <w:rFonts w:hint="eastAsia" w:ascii="仿宋" w:hAnsi="仿宋" w:eastAsia="仿宋"/>
          <w:color w:val="auto"/>
        </w:rPr>
        <w:t>6、未能在面试前提供完整材料的考生务必在规定期限内(以学院通知为准)补齐材料，否则会影响录取。由此产生的后果由考生本人承担。</w:t>
      </w:r>
    </w:p>
    <w:p w14:paraId="0ABE6EF7">
      <w:pPr>
        <w:pStyle w:val="2"/>
        <w:spacing w:beforeAutospacing="0" w:afterAutospacing="0" w:line="360" w:lineRule="auto"/>
        <w:ind w:firstLine="465"/>
        <w:jc w:val="both"/>
        <w:rPr>
          <w:rFonts w:ascii="仿宋" w:hAnsi="仿宋" w:eastAsia="仿宋"/>
          <w:color w:val="auto"/>
        </w:rPr>
      </w:pPr>
    </w:p>
    <w:p w14:paraId="4339C256">
      <w:pPr>
        <w:pStyle w:val="2"/>
        <w:spacing w:beforeAutospacing="0" w:afterAutospacing="0" w:line="360" w:lineRule="auto"/>
        <w:ind w:firstLine="465"/>
        <w:jc w:val="center"/>
        <w:rPr>
          <w:rFonts w:ascii="仿宋" w:hAnsi="仿宋" w:eastAsia="仿宋"/>
          <w:b/>
          <w:color w:val="auto"/>
          <w:sz w:val="28"/>
          <w:szCs w:val="28"/>
        </w:rPr>
      </w:pPr>
    </w:p>
    <w:p w14:paraId="54F6FAFC">
      <w:pPr>
        <w:pStyle w:val="2"/>
        <w:spacing w:beforeAutospacing="0" w:afterAutospacing="0" w:line="360" w:lineRule="auto"/>
        <w:ind w:firstLine="465"/>
        <w:jc w:val="center"/>
        <w:rPr>
          <w:rFonts w:ascii="仿宋" w:hAnsi="仿宋" w:eastAsia="仿宋"/>
          <w:b/>
          <w:color w:val="auto"/>
          <w:sz w:val="28"/>
          <w:szCs w:val="28"/>
        </w:rPr>
      </w:pPr>
    </w:p>
    <w:p w14:paraId="6B5D670E">
      <w:pPr>
        <w:pStyle w:val="2"/>
        <w:spacing w:beforeAutospacing="0" w:afterAutospacing="0" w:line="360" w:lineRule="auto"/>
        <w:ind w:firstLine="465"/>
        <w:jc w:val="center"/>
        <w:rPr>
          <w:rFonts w:ascii="仿宋" w:hAnsi="仿宋" w:eastAsia="仿宋"/>
          <w:b/>
          <w:color w:val="auto"/>
          <w:sz w:val="28"/>
          <w:szCs w:val="28"/>
        </w:rPr>
      </w:pPr>
    </w:p>
    <w:p w14:paraId="2AA40152">
      <w:pPr>
        <w:pStyle w:val="2"/>
        <w:spacing w:beforeAutospacing="0" w:afterAutospacing="0" w:line="360" w:lineRule="auto"/>
        <w:ind w:firstLine="465"/>
        <w:jc w:val="center"/>
        <w:rPr>
          <w:rFonts w:ascii="仿宋" w:hAnsi="仿宋" w:eastAsia="仿宋"/>
          <w:color w:val="auto"/>
        </w:rPr>
      </w:pPr>
    </w:p>
    <w:p w14:paraId="747A0E89">
      <w:pPr>
        <w:pStyle w:val="2"/>
        <w:spacing w:beforeAutospacing="0" w:afterAutospacing="0" w:line="360" w:lineRule="auto"/>
        <w:ind w:firstLine="465"/>
        <w:jc w:val="center"/>
        <w:rPr>
          <w:rFonts w:ascii="仿宋" w:hAnsi="仿宋" w:eastAsia="仿宋"/>
          <w:color w:val="auto"/>
        </w:rPr>
      </w:pPr>
      <w:r>
        <w:rPr>
          <w:rFonts w:hint="eastAsia" w:ascii="仿宋" w:hAnsi="仿宋" w:eastAsia="仿宋"/>
          <w:color w:val="auto"/>
        </w:rPr>
        <w:t xml:space="preserve">                        </w:t>
      </w:r>
    </w:p>
    <w:p w14:paraId="5820370F">
      <w:pPr>
        <w:pStyle w:val="2"/>
        <w:spacing w:before="240" w:beforeAutospacing="0" w:afterAutospacing="0" w:line="360" w:lineRule="auto"/>
        <w:jc w:val="center"/>
        <w:rPr>
          <w:rFonts w:hint="eastAsia" w:ascii="仿宋" w:hAnsi="仿宋" w:eastAsia="仿宋"/>
          <w:b/>
          <w:color w:val="auto"/>
          <w:sz w:val="32"/>
          <w:szCs w:val="32"/>
        </w:rPr>
      </w:pPr>
    </w:p>
    <w:p w14:paraId="7954EBB7">
      <w:pPr>
        <w:pStyle w:val="2"/>
        <w:spacing w:before="240" w:beforeAutospacing="0" w:afterAutospacing="0" w:line="360" w:lineRule="auto"/>
        <w:jc w:val="center"/>
        <w:rPr>
          <w:rFonts w:ascii="仿宋" w:hAnsi="仿宋" w:eastAsia="仿宋"/>
          <w:b/>
          <w:color w:val="auto"/>
          <w:sz w:val="32"/>
          <w:szCs w:val="32"/>
        </w:rPr>
      </w:pPr>
      <w:r>
        <w:rPr>
          <w:rFonts w:hint="eastAsia" w:ascii="仿宋" w:hAnsi="仿宋" w:eastAsia="仿宋"/>
          <w:b/>
          <w:color w:val="auto"/>
          <w:sz w:val="32"/>
          <w:szCs w:val="32"/>
        </w:rPr>
        <w:t>知情同意书与承诺书</w:t>
      </w:r>
    </w:p>
    <w:p w14:paraId="3C7CCB37">
      <w:pPr>
        <w:pStyle w:val="2"/>
        <w:spacing w:before="240" w:beforeAutospacing="0" w:afterAutospacing="0" w:line="360" w:lineRule="auto"/>
        <w:ind w:firstLine="465"/>
        <w:jc w:val="center"/>
        <w:rPr>
          <w:rFonts w:hint="eastAsia" w:ascii="仿宋" w:hAnsi="仿宋" w:eastAsia="仿宋"/>
          <w:b/>
          <w:color w:val="auto"/>
          <w:sz w:val="28"/>
          <w:szCs w:val="28"/>
        </w:rPr>
      </w:pPr>
    </w:p>
    <w:p w14:paraId="17C9AF20">
      <w:pPr>
        <w:pStyle w:val="2"/>
        <w:spacing w:before="240" w:beforeAutospacing="0" w:afterAutospacing="0" w:line="360" w:lineRule="auto"/>
        <w:ind w:firstLine="465"/>
        <w:jc w:val="both"/>
        <w:rPr>
          <w:rFonts w:ascii="仿宋" w:hAnsi="仿宋" w:eastAsia="仿宋"/>
          <w:color w:val="auto"/>
          <w:sz w:val="24"/>
          <w:szCs w:val="24"/>
        </w:rPr>
      </w:pPr>
      <w:r>
        <w:rPr>
          <w:rFonts w:hint="eastAsia" w:ascii="仿宋" w:hAnsi="仿宋" w:eastAsia="仿宋"/>
          <w:color w:val="auto"/>
          <w:sz w:val="24"/>
          <w:szCs w:val="24"/>
        </w:rPr>
        <w:t>本人       ，身份证号                       已阅读并理解《告知书》的内容，知晓北京师范大学政府管理学院</w:t>
      </w:r>
      <w:r>
        <w:rPr>
          <w:rFonts w:hint="eastAsia" w:ascii="仿宋" w:hAnsi="仿宋" w:eastAsia="仿宋"/>
          <w:color w:val="auto"/>
          <w:sz w:val="24"/>
          <w:szCs w:val="24"/>
          <w:lang w:eastAsia="zh-CN"/>
        </w:rPr>
        <w:t>2025</w:t>
      </w:r>
      <w:r>
        <w:rPr>
          <w:rFonts w:hint="eastAsia" w:ascii="仿宋" w:hAnsi="仿宋" w:eastAsia="仿宋"/>
          <w:color w:val="auto"/>
          <w:sz w:val="24"/>
          <w:szCs w:val="24"/>
        </w:rPr>
        <w:t>年非全日制公共管理专业学位硕士研究生（MPA）的</w:t>
      </w:r>
      <w:r>
        <w:rPr>
          <w:rFonts w:hint="eastAsia" w:ascii="仿宋" w:hAnsi="仿宋" w:eastAsia="仿宋"/>
          <w:color w:val="auto"/>
          <w:sz w:val="24"/>
          <w:szCs w:val="24"/>
          <w:lang w:val="en-US" w:eastAsia="zh-CN"/>
        </w:rPr>
        <w:t>学制</w:t>
      </w:r>
      <w:r>
        <w:rPr>
          <w:rFonts w:hint="eastAsia" w:ascii="仿宋" w:hAnsi="仿宋" w:eastAsia="仿宋"/>
          <w:color w:val="auto"/>
          <w:sz w:val="24"/>
          <w:szCs w:val="24"/>
        </w:rPr>
        <w:t>、住宿、录取类别、学习方式和研究方向，以及毕业证书将注明非全日制学习方式等的安排。</w:t>
      </w:r>
    </w:p>
    <w:p w14:paraId="3C1D0C6E">
      <w:pPr>
        <w:widowControl/>
        <w:spacing w:line="360" w:lineRule="auto"/>
        <w:ind w:firstLine="480" w:firstLineChars="200"/>
        <w:rPr>
          <w:rFonts w:ascii="仿宋" w:hAnsi="仿宋" w:eastAsia="仿宋"/>
          <w:color w:val="auto"/>
          <w:sz w:val="24"/>
          <w:szCs w:val="24"/>
        </w:rPr>
      </w:pPr>
      <w:r>
        <w:rPr>
          <w:rFonts w:hint="eastAsia" w:ascii="仿宋" w:hAnsi="仿宋" w:eastAsia="仿宋" w:cs="宋体"/>
          <w:color w:val="auto"/>
          <w:sz w:val="24"/>
          <w:szCs w:val="24"/>
        </w:rPr>
        <w:t>本人知晓按照报考方向根据考生总成绩（初试成绩+复试成绩）从高到低依次录取；总成绩相同时，按初试总分从高到低依次录取；</w:t>
      </w:r>
      <w:r>
        <w:rPr>
          <w:rFonts w:hint="eastAsia" w:ascii="仿宋" w:hAnsi="仿宋" w:eastAsia="仿宋" w:cs="宋体"/>
          <w:color w:val="auto"/>
          <w:sz w:val="24"/>
          <w:szCs w:val="24"/>
          <w:lang w:val="en-US" w:eastAsia="zh-CN"/>
        </w:rPr>
        <w:t>获得2025级京师政管MPA体验营“优秀营员”的考生，同等条件优先录取。</w:t>
      </w:r>
      <w:r>
        <w:rPr>
          <w:rFonts w:hint="eastAsia" w:ascii="仿宋" w:hAnsi="仿宋" w:eastAsia="仿宋" w:cs="宋体"/>
          <w:color w:val="auto"/>
          <w:sz w:val="24"/>
          <w:szCs w:val="24"/>
        </w:rPr>
        <w:t>复试不合格考生不予录取。</w:t>
      </w:r>
    </w:p>
    <w:p w14:paraId="1E324381">
      <w:pPr>
        <w:pStyle w:val="2"/>
        <w:spacing w:beforeAutospacing="0" w:afterAutospacing="0" w:line="360" w:lineRule="auto"/>
        <w:ind w:firstLine="465"/>
        <w:jc w:val="both"/>
        <w:rPr>
          <w:rFonts w:ascii="仿宋" w:hAnsi="仿宋" w:eastAsia="仿宋"/>
          <w:color w:val="auto"/>
          <w:sz w:val="24"/>
          <w:szCs w:val="24"/>
        </w:rPr>
      </w:pPr>
      <w:r>
        <w:rPr>
          <w:rFonts w:hint="eastAsia" w:ascii="仿宋" w:hAnsi="仿宋" w:eastAsia="仿宋"/>
          <w:color w:val="auto"/>
          <w:sz w:val="24"/>
          <w:szCs w:val="24"/>
        </w:rPr>
        <w:t>本人承诺在资料审查阶段所提供的材料真实有效，若提供虚假材料影响录取，后果由本人承担。</w:t>
      </w:r>
    </w:p>
    <w:p w14:paraId="76462D35">
      <w:pPr>
        <w:pStyle w:val="2"/>
        <w:spacing w:beforeAutospacing="0" w:afterAutospacing="0" w:line="360" w:lineRule="auto"/>
        <w:ind w:firstLine="465"/>
        <w:jc w:val="both"/>
        <w:rPr>
          <w:rFonts w:ascii="仿宋" w:hAnsi="仿宋" w:eastAsia="仿宋"/>
          <w:color w:val="auto"/>
          <w:sz w:val="24"/>
          <w:szCs w:val="24"/>
        </w:rPr>
      </w:pPr>
      <w:r>
        <w:rPr>
          <w:rFonts w:hint="eastAsia" w:ascii="仿宋" w:hAnsi="仿宋" w:eastAsia="仿宋"/>
          <w:color w:val="auto"/>
          <w:sz w:val="24"/>
          <w:szCs w:val="24"/>
        </w:rPr>
        <w:t>本人承诺在面试过程中遵照面试规则，对面试过程中的题目严格保密，保证面试的公平性。</w:t>
      </w:r>
      <w:bookmarkStart w:id="0" w:name="_GoBack"/>
      <w:bookmarkEnd w:id="0"/>
    </w:p>
    <w:p w14:paraId="02686BF9">
      <w:pPr>
        <w:pStyle w:val="2"/>
        <w:spacing w:beforeAutospacing="0" w:afterAutospacing="0" w:line="360" w:lineRule="auto"/>
        <w:ind w:firstLine="465"/>
        <w:jc w:val="both"/>
        <w:rPr>
          <w:rFonts w:ascii="仿宋" w:hAnsi="仿宋" w:eastAsia="仿宋"/>
          <w:color w:val="auto"/>
          <w:sz w:val="24"/>
          <w:szCs w:val="24"/>
        </w:rPr>
      </w:pPr>
      <w:r>
        <w:rPr>
          <w:rFonts w:ascii="仿宋" w:hAnsi="仿宋" w:eastAsia="仿宋"/>
          <w:color w:val="auto"/>
          <w:sz w:val="24"/>
          <w:szCs w:val="24"/>
        </w:rPr>
        <w:t>本人知晓并同意</w:t>
      </w:r>
      <w:r>
        <w:rPr>
          <w:rFonts w:hint="eastAsia" w:ascii="仿宋" w:hAnsi="仿宋" w:eastAsia="仿宋"/>
          <w:color w:val="auto"/>
          <w:sz w:val="24"/>
          <w:szCs w:val="24"/>
        </w:rPr>
        <w:t>北京师范大学政府管理</w:t>
      </w:r>
      <w:r>
        <w:rPr>
          <w:rFonts w:ascii="仿宋" w:hAnsi="仿宋" w:eastAsia="仿宋"/>
          <w:color w:val="auto"/>
          <w:sz w:val="24"/>
          <w:szCs w:val="24"/>
        </w:rPr>
        <w:t>学院</w:t>
      </w:r>
      <w:r>
        <w:rPr>
          <w:rFonts w:hint="eastAsia" w:ascii="仿宋" w:hAnsi="仿宋" w:eastAsia="仿宋"/>
          <w:color w:val="auto"/>
          <w:sz w:val="24"/>
          <w:szCs w:val="24"/>
        </w:rPr>
        <w:t>MPA教育中心按招生要求对面试全过程进行录音录像。</w:t>
      </w:r>
    </w:p>
    <w:p w14:paraId="6C128FB9">
      <w:pPr>
        <w:pStyle w:val="2"/>
        <w:spacing w:beforeAutospacing="0" w:afterAutospacing="0" w:line="360" w:lineRule="auto"/>
        <w:ind w:firstLine="465"/>
        <w:jc w:val="both"/>
        <w:rPr>
          <w:rFonts w:ascii="仿宋" w:hAnsi="仿宋" w:eastAsia="仿宋"/>
          <w:color w:val="auto"/>
          <w:sz w:val="24"/>
          <w:szCs w:val="24"/>
        </w:rPr>
      </w:pPr>
    </w:p>
    <w:p w14:paraId="5B2D6849">
      <w:pPr>
        <w:pStyle w:val="2"/>
        <w:spacing w:beforeAutospacing="0" w:afterAutospacing="0" w:line="360" w:lineRule="auto"/>
        <w:ind w:firstLine="465"/>
        <w:jc w:val="both"/>
        <w:rPr>
          <w:rFonts w:ascii="仿宋" w:hAnsi="仿宋" w:eastAsia="仿宋"/>
          <w:color w:val="auto"/>
          <w:sz w:val="24"/>
          <w:szCs w:val="24"/>
        </w:rPr>
      </w:pPr>
    </w:p>
    <w:p w14:paraId="3C3B0ABB">
      <w:pPr>
        <w:pStyle w:val="2"/>
        <w:spacing w:beforeAutospacing="0" w:afterAutospacing="0" w:line="360" w:lineRule="auto"/>
        <w:ind w:firstLine="465"/>
        <w:jc w:val="both"/>
        <w:rPr>
          <w:rFonts w:ascii="仿宋" w:hAnsi="仿宋" w:eastAsia="仿宋"/>
          <w:color w:val="auto"/>
          <w:sz w:val="24"/>
          <w:szCs w:val="24"/>
        </w:rPr>
      </w:pPr>
      <w:r>
        <w:rPr>
          <w:rFonts w:hint="eastAsia" w:ascii="仿宋" w:hAnsi="仿宋" w:eastAsia="仿宋"/>
          <w:color w:val="auto"/>
          <w:sz w:val="24"/>
          <w:szCs w:val="24"/>
        </w:rPr>
        <w:t xml:space="preserve">                                         签名：    </w:t>
      </w:r>
    </w:p>
    <w:p w14:paraId="5B81F7E8">
      <w:pPr>
        <w:pStyle w:val="2"/>
        <w:spacing w:beforeAutospacing="0" w:afterAutospacing="0" w:line="360" w:lineRule="auto"/>
        <w:ind w:firstLine="465"/>
        <w:jc w:val="both"/>
        <w:rPr>
          <w:rFonts w:ascii="仿宋" w:hAnsi="仿宋" w:eastAsia="仿宋"/>
          <w:color w:val="auto"/>
          <w:sz w:val="24"/>
          <w:szCs w:val="24"/>
        </w:rPr>
      </w:pPr>
    </w:p>
    <w:p w14:paraId="59BC446A">
      <w:pPr>
        <w:pStyle w:val="2"/>
        <w:spacing w:beforeAutospacing="0" w:afterAutospacing="0" w:line="360" w:lineRule="auto"/>
        <w:ind w:firstLine="465"/>
        <w:jc w:val="both"/>
        <w:rPr>
          <w:rFonts w:ascii="仿宋" w:hAnsi="仿宋" w:eastAsia="仿宋"/>
          <w:color w:val="auto"/>
          <w:sz w:val="24"/>
          <w:szCs w:val="24"/>
        </w:rPr>
      </w:pPr>
      <w:r>
        <w:rPr>
          <w:rFonts w:hint="eastAsia" w:ascii="仿宋" w:hAnsi="仿宋" w:eastAsia="仿宋"/>
          <w:color w:val="auto"/>
          <w:sz w:val="24"/>
          <w:szCs w:val="24"/>
        </w:rPr>
        <w:t xml:space="preserve">                                         联系方式：</w:t>
      </w:r>
    </w:p>
    <w:p w14:paraId="1FAA4A06">
      <w:pPr>
        <w:pStyle w:val="2"/>
        <w:spacing w:beforeAutospacing="0" w:afterAutospacing="0" w:line="360" w:lineRule="auto"/>
        <w:ind w:firstLine="465"/>
        <w:jc w:val="both"/>
        <w:rPr>
          <w:rFonts w:hint="eastAsia" w:ascii="仿宋" w:hAnsi="仿宋" w:eastAsia="仿宋"/>
          <w:color w:val="auto"/>
        </w:rPr>
      </w:pPr>
    </w:p>
    <w:p w14:paraId="7C899893">
      <w:pPr>
        <w:pStyle w:val="2"/>
        <w:spacing w:beforeAutospacing="0" w:afterAutospacing="0" w:line="360" w:lineRule="auto"/>
        <w:ind w:firstLine="465"/>
        <w:jc w:val="both"/>
        <w:rPr>
          <w:rFonts w:ascii="仿宋" w:hAnsi="仿宋" w:eastAsia="仿宋"/>
          <w:color w:val="auto"/>
        </w:rPr>
      </w:pPr>
      <w:r>
        <w:rPr>
          <w:rFonts w:hint="eastAsia" w:ascii="仿宋" w:hAnsi="仿宋" w:eastAsia="仿宋"/>
          <w:color w:val="auto"/>
        </w:rPr>
        <w:t xml:space="preserve">                                                年  </w:t>
      </w:r>
      <w:r>
        <w:rPr>
          <w:rFonts w:ascii="仿宋" w:hAnsi="仿宋" w:eastAsia="仿宋"/>
          <w:color w:val="auto"/>
        </w:rPr>
        <w:t xml:space="preserve">   </w:t>
      </w:r>
      <w:r>
        <w:rPr>
          <w:rFonts w:hint="eastAsia" w:ascii="仿宋" w:hAnsi="仿宋" w:eastAsia="仿宋"/>
          <w:color w:val="auto"/>
        </w:rPr>
        <w:t xml:space="preserve"> 月 </w:t>
      </w:r>
      <w:r>
        <w:rPr>
          <w:rFonts w:ascii="仿宋" w:hAnsi="仿宋" w:eastAsia="仿宋"/>
          <w:color w:val="auto"/>
        </w:rPr>
        <w:t xml:space="preserve"> </w:t>
      </w:r>
      <w:r>
        <w:rPr>
          <w:rFonts w:hint="eastAsia" w:ascii="仿宋" w:hAnsi="仿宋" w:eastAsia="仿宋"/>
          <w:color w:val="auto"/>
        </w:rPr>
        <w:t xml:space="preserve">   日</w:t>
      </w:r>
    </w:p>
    <w:p w14:paraId="4ECFAA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4YWE2NWM2NjkyMzUxOGRkNDNkNjJlMmYxYjJlZDkifQ=="/>
  </w:docVars>
  <w:rsids>
    <w:rsidRoot w:val="7A225BED"/>
    <w:rsid w:val="015F1D17"/>
    <w:rsid w:val="03C455FA"/>
    <w:rsid w:val="1C844F99"/>
    <w:rsid w:val="289D03C0"/>
    <w:rsid w:val="37C006DD"/>
    <w:rsid w:val="3BEE5661"/>
    <w:rsid w:val="40731583"/>
    <w:rsid w:val="51DA190E"/>
    <w:rsid w:val="6AAD0C44"/>
    <w:rsid w:val="7A225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807</Words>
  <Characters>832</Characters>
  <Lines>0</Lines>
  <Paragraphs>0</Paragraphs>
  <TotalTime>0</TotalTime>
  <ScaleCrop>false</ScaleCrop>
  <LinksUpToDate>false</LinksUpToDate>
  <CharactersWithSpaces>1035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2023-03-20T10:46:00Z</dcterms:created>
  <dc:creator>37811</dc:creator>
  <cp:lastModifiedBy>密斯小小鸟</cp:lastModifiedBy>
  <dcterms:modified xsi:type="dcterms:W3CDTF">2025-03-07T00:48:04Z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0C3465681C5D43B195E3BA22BB468C86</vt:lpwstr>
  </property>
  <property fmtid="{D5CDD505-2E9C-101B-9397-08002B2CF9AE}" pid="4" name="KSOTemplateDocerSaveRecord">
    <vt:lpwstr>eyJoZGlkIjoiNmE4YWE2NWM2NjkyMzUxOGRkNDNkNjJlMmYxYjJlZDkiLCJ1c2VySWQiOiIzNDgyMTgyNzUifQ==</vt:lpwstr>
  </property>
</Properties>
</file>