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450" w:lineRule="atLeast"/>
        <w:ind w:firstLine="465"/>
        <w:jc w:val="center"/>
        <w:rPr>
          <w:rFonts w:ascii="仿宋" w:hAnsi="仿宋" w:eastAsia="仿宋"/>
          <w:b/>
          <w:color w:val="333333"/>
          <w:sz w:val="28"/>
          <w:szCs w:val="28"/>
        </w:rPr>
      </w:pPr>
    </w:p>
    <w:p>
      <w:pPr>
        <w:pStyle w:val="6"/>
        <w:spacing w:line="450" w:lineRule="atLeast"/>
        <w:ind w:firstLine="465"/>
        <w:jc w:val="center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b/>
          <w:color w:val="333333"/>
          <w:sz w:val="28"/>
          <w:szCs w:val="28"/>
        </w:rPr>
        <w:t>告  知  书</w:t>
      </w:r>
    </w:p>
    <w:p>
      <w:pPr>
        <w:pStyle w:val="6"/>
        <w:spacing w:line="450" w:lineRule="atLeast"/>
        <w:jc w:val="center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>（致报考北京师范大学政府管理学院20</w:t>
      </w:r>
      <w:r>
        <w:rPr>
          <w:rFonts w:ascii="仿宋" w:hAnsi="仿宋" w:eastAsia="仿宋"/>
          <w:color w:val="333333"/>
        </w:rPr>
        <w:t>2</w:t>
      </w:r>
      <w:r>
        <w:rPr>
          <w:rFonts w:hint="eastAsia" w:ascii="仿宋" w:hAnsi="仿宋" w:eastAsia="仿宋"/>
          <w:color w:val="333333"/>
        </w:rPr>
        <w:t>2年公共管理专业硕士研究生考生）</w:t>
      </w:r>
    </w:p>
    <w:p>
      <w:pPr>
        <w:pStyle w:val="6"/>
        <w:spacing w:before="0" w:beforeAutospacing="0" w:after="0" w:afterAutospacing="0" w:line="360" w:lineRule="auto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>尊敬的考生：</w:t>
      </w:r>
    </w:p>
    <w:p>
      <w:pPr>
        <w:pStyle w:val="6"/>
        <w:spacing w:before="0" w:beforeAutospacing="0" w:after="0" w:afterAutospacing="0" w:line="360" w:lineRule="auto"/>
        <w:ind w:firstLine="465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>您好！首先感谢您选择报考北京师范大学政府管理学院公共管理专业硕士。现将20</w:t>
      </w:r>
      <w:r>
        <w:rPr>
          <w:rFonts w:ascii="仿宋" w:hAnsi="仿宋" w:eastAsia="仿宋"/>
          <w:color w:val="333333"/>
        </w:rPr>
        <w:t>2</w:t>
      </w:r>
      <w:r>
        <w:rPr>
          <w:rFonts w:hint="eastAsia" w:ascii="仿宋" w:hAnsi="仿宋" w:eastAsia="仿宋"/>
          <w:color w:val="333333"/>
        </w:rPr>
        <w:t>2年北京师范大学政府管理学院非全日制公共管理专业硕士</w:t>
      </w:r>
      <w:r>
        <w:rPr>
          <w:rFonts w:hint="eastAsia" w:ascii="仿宋" w:hAnsi="仿宋" w:eastAsia="仿宋"/>
          <w:color w:val="333333"/>
          <w:lang w:val="en-US" w:eastAsia="zh-CN"/>
        </w:rPr>
        <w:t>学习年限</w:t>
      </w:r>
      <w:r>
        <w:rPr>
          <w:rFonts w:hint="eastAsia" w:ascii="仿宋" w:hAnsi="仿宋" w:eastAsia="仿宋"/>
          <w:color w:val="333333"/>
        </w:rPr>
        <w:t>、住宿、录取类别、学习方式等重要事项周知于您，请您务必了解。</w:t>
      </w:r>
    </w:p>
    <w:p>
      <w:pPr>
        <w:pStyle w:val="6"/>
        <w:spacing w:before="0" w:beforeAutospacing="0" w:after="0" w:afterAutospacing="0" w:line="360" w:lineRule="auto"/>
        <w:ind w:firstLine="465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>1、</w:t>
      </w:r>
      <w:r>
        <w:rPr>
          <w:rFonts w:hint="eastAsia" w:ascii="仿宋" w:hAnsi="仿宋" w:eastAsia="仿宋"/>
          <w:color w:val="333333"/>
          <w:lang w:val="en-US" w:eastAsia="zh-CN"/>
        </w:rPr>
        <w:t>学习年限</w:t>
      </w:r>
      <w:r>
        <w:rPr>
          <w:rFonts w:hint="eastAsia" w:ascii="仿宋" w:hAnsi="仿宋" w:eastAsia="仿宋"/>
          <w:color w:val="333333"/>
        </w:rPr>
        <w:t>：</w:t>
      </w:r>
      <w:r>
        <w:rPr>
          <w:rFonts w:hint="eastAsia" w:ascii="仿宋" w:hAnsi="仿宋" w:eastAsia="仿宋"/>
          <w:color w:val="333333"/>
          <w:lang w:val="en-US" w:eastAsia="zh-CN"/>
        </w:rPr>
        <w:t>2.5-4</w:t>
      </w:r>
      <w:r>
        <w:rPr>
          <w:rFonts w:hint="eastAsia" w:ascii="仿宋" w:hAnsi="仿宋" w:eastAsia="仿宋"/>
          <w:color w:val="333333"/>
        </w:rPr>
        <w:t>年。</w:t>
      </w:r>
      <w:bookmarkStart w:id="0" w:name="_GoBack"/>
      <w:bookmarkEnd w:id="0"/>
    </w:p>
    <w:p>
      <w:pPr>
        <w:pStyle w:val="6"/>
        <w:spacing w:before="0" w:beforeAutospacing="0" w:after="0" w:afterAutospacing="0" w:line="360" w:lineRule="auto"/>
        <w:ind w:firstLine="465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>2、住宿：学校不安排住宿，需自行解决。</w:t>
      </w:r>
    </w:p>
    <w:p>
      <w:pPr>
        <w:pStyle w:val="6"/>
        <w:spacing w:before="0" w:beforeAutospacing="0" w:after="0" w:afterAutospacing="0" w:line="360" w:lineRule="auto"/>
        <w:ind w:firstLine="465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>3、录取类别：录取类别为定向就业。</w:t>
      </w:r>
    </w:p>
    <w:p>
      <w:pPr>
        <w:pStyle w:val="6"/>
        <w:spacing w:before="0" w:beforeAutospacing="0" w:after="0" w:afterAutospacing="0" w:line="360" w:lineRule="auto"/>
        <w:ind w:firstLine="465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>定向就业硕士生的人事档案、户口均不迁入北师大，毕业后必须回定向单位就业。获得拟录取资格的定向就业的硕士研究生均须与招生单位、用人单位分别签订定向就业合同。</w:t>
      </w:r>
    </w:p>
    <w:p>
      <w:pPr>
        <w:pStyle w:val="6"/>
        <w:spacing w:before="0" w:beforeAutospacing="0" w:after="0" w:afterAutospacing="0" w:line="360" w:lineRule="auto"/>
        <w:ind w:firstLine="465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>4、学习方式：学习为非全日制。</w:t>
      </w:r>
    </w:p>
    <w:p>
      <w:pPr>
        <w:pStyle w:val="6"/>
        <w:spacing w:before="0" w:beforeAutospacing="0" w:after="0" w:afterAutospacing="0" w:line="360" w:lineRule="auto"/>
        <w:ind w:firstLine="465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>根据《</w:t>
      </w:r>
      <w:r>
        <w:rPr>
          <w:rFonts w:ascii="仿宋" w:hAnsi="仿宋" w:eastAsia="仿宋"/>
          <w:color w:val="333333"/>
        </w:rPr>
        <w:t>教育部办公厅关于统筹全日制和非全日制研究生管理工作的通知</w:t>
      </w:r>
      <w:r>
        <w:rPr>
          <w:rFonts w:hint="eastAsia" w:ascii="仿宋" w:hAnsi="仿宋" w:eastAsia="仿宋"/>
          <w:color w:val="333333"/>
        </w:rPr>
        <w:t>》</w:t>
      </w:r>
      <w:r>
        <w:rPr>
          <w:rFonts w:ascii="仿宋" w:hAnsi="仿宋" w:eastAsia="仿宋"/>
          <w:color w:val="333333"/>
        </w:rPr>
        <w:t>文件规定</w:t>
      </w:r>
      <w:r>
        <w:rPr>
          <w:rFonts w:hint="eastAsia" w:ascii="仿宋" w:hAnsi="仿宋" w:eastAsia="仿宋"/>
          <w:color w:val="333333"/>
        </w:rPr>
        <w:t>，20</w:t>
      </w:r>
      <w:r>
        <w:rPr>
          <w:rFonts w:ascii="仿宋" w:hAnsi="仿宋" w:eastAsia="仿宋"/>
          <w:color w:val="333333"/>
        </w:rPr>
        <w:t>2</w:t>
      </w:r>
      <w:r>
        <w:rPr>
          <w:rFonts w:hint="eastAsia" w:ascii="仿宋" w:hAnsi="仿宋" w:eastAsia="仿宋"/>
          <w:color w:val="333333"/>
        </w:rPr>
        <w:t>2年招收的MPA学生，其毕业证书上将注明“非全日制”学习方式。</w:t>
      </w:r>
    </w:p>
    <w:p>
      <w:pPr>
        <w:pStyle w:val="6"/>
        <w:spacing w:before="0" w:beforeAutospacing="0" w:after="0" w:afterAutospacing="0" w:line="360" w:lineRule="auto"/>
        <w:ind w:firstLine="465"/>
        <w:jc w:val="both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>5、研究方向：我院20</w:t>
      </w:r>
      <w:r>
        <w:rPr>
          <w:rFonts w:ascii="仿宋" w:hAnsi="仿宋" w:eastAsia="仿宋"/>
          <w:color w:val="333333"/>
        </w:rPr>
        <w:t>2</w:t>
      </w:r>
      <w:r>
        <w:rPr>
          <w:rFonts w:hint="eastAsia" w:ascii="仿宋" w:hAnsi="仿宋" w:eastAsia="仿宋"/>
          <w:color w:val="333333"/>
        </w:rPr>
        <w:t>2年MPA学生将在入学后确认方向。</w:t>
      </w:r>
    </w:p>
    <w:p>
      <w:pPr>
        <w:pStyle w:val="6"/>
        <w:spacing w:before="0" w:beforeAutospacing="0" w:after="0" w:afterAutospacing="0" w:line="360" w:lineRule="auto"/>
        <w:ind w:firstLine="465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>6、未能在面试前提供完整材料的考生务必在规定期限内(以学院通知为准)补齐材料，否则会影响录取结果，结果由考生本人承担。</w:t>
      </w:r>
    </w:p>
    <w:p>
      <w:pPr>
        <w:pStyle w:val="6"/>
        <w:spacing w:before="0" w:beforeAutospacing="0" w:after="0" w:afterAutospacing="0" w:line="360" w:lineRule="auto"/>
        <w:ind w:firstLine="465"/>
        <w:jc w:val="both"/>
        <w:rPr>
          <w:rFonts w:ascii="仿宋" w:hAnsi="仿宋" w:eastAsia="仿宋"/>
          <w:color w:val="333333"/>
        </w:rPr>
      </w:pPr>
    </w:p>
    <w:p>
      <w:pPr>
        <w:pStyle w:val="6"/>
        <w:spacing w:before="0" w:beforeAutospacing="0" w:after="0" w:afterAutospacing="0" w:line="360" w:lineRule="auto"/>
        <w:ind w:firstLine="465"/>
        <w:jc w:val="center"/>
        <w:rPr>
          <w:rFonts w:ascii="仿宋" w:hAnsi="仿宋" w:eastAsia="仿宋"/>
          <w:b/>
          <w:color w:val="333333"/>
          <w:sz w:val="28"/>
          <w:szCs w:val="28"/>
        </w:rPr>
      </w:pPr>
    </w:p>
    <w:p>
      <w:pPr>
        <w:pStyle w:val="6"/>
        <w:spacing w:before="0" w:beforeAutospacing="0" w:after="0" w:afterAutospacing="0" w:line="360" w:lineRule="auto"/>
        <w:ind w:firstLine="465"/>
        <w:jc w:val="center"/>
        <w:rPr>
          <w:rFonts w:ascii="仿宋" w:hAnsi="仿宋" w:eastAsia="仿宋"/>
          <w:b/>
          <w:color w:val="333333"/>
          <w:sz w:val="28"/>
          <w:szCs w:val="28"/>
        </w:rPr>
      </w:pPr>
    </w:p>
    <w:p>
      <w:pPr>
        <w:pStyle w:val="6"/>
        <w:spacing w:before="0" w:beforeAutospacing="0" w:after="0" w:afterAutospacing="0" w:line="360" w:lineRule="auto"/>
        <w:ind w:firstLine="465"/>
        <w:jc w:val="center"/>
        <w:rPr>
          <w:rFonts w:ascii="仿宋" w:hAnsi="仿宋" w:eastAsia="仿宋"/>
          <w:b/>
          <w:color w:val="333333"/>
          <w:sz w:val="28"/>
          <w:szCs w:val="28"/>
        </w:rPr>
      </w:pPr>
    </w:p>
    <w:p>
      <w:pPr>
        <w:pStyle w:val="6"/>
        <w:spacing w:before="0" w:beforeAutospacing="0" w:after="0" w:afterAutospacing="0" w:line="360" w:lineRule="auto"/>
        <w:ind w:firstLine="465"/>
        <w:jc w:val="center"/>
        <w:rPr>
          <w:rFonts w:ascii="仿宋" w:hAnsi="仿宋" w:eastAsia="仿宋"/>
          <w:color w:val="333333"/>
        </w:rPr>
      </w:pPr>
    </w:p>
    <w:p>
      <w:pPr>
        <w:pStyle w:val="6"/>
        <w:spacing w:before="0" w:beforeAutospacing="0" w:after="0" w:afterAutospacing="0" w:line="360" w:lineRule="auto"/>
        <w:ind w:firstLine="465"/>
        <w:jc w:val="center"/>
        <w:rPr>
          <w:rFonts w:ascii="仿宋" w:hAnsi="仿宋" w:eastAsia="仿宋"/>
          <w:color w:val="333333"/>
        </w:rPr>
      </w:pPr>
    </w:p>
    <w:p>
      <w:pPr>
        <w:pStyle w:val="6"/>
        <w:spacing w:before="0" w:beforeAutospacing="0" w:after="0" w:afterAutospacing="0" w:line="360" w:lineRule="auto"/>
        <w:ind w:firstLine="465"/>
        <w:jc w:val="center"/>
        <w:rPr>
          <w:rFonts w:ascii="仿宋" w:hAnsi="仿宋" w:eastAsia="仿宋"/>
          <w:color w:val="333333"/>
        </w:rPr>
      </w:pPr>
    </w:p>
    <w:p>
      <w:pPr>
        <w:pStyle w:val="6"/>
        <w:spacing w:before="0" w:beforeAutospacing="0" w:after="0" w:afterAutospacing="0" w:line="360" w:lineRule="auto"/>
        <w:ind w:firstLine="465"/>
        <w:jc w:val="center"/>
        <w:rPr>
          <w:rFonts w:ascii="仿宋" w:hAnsi="仿宋" w:eastAsia="仿宋"/>
          <w:color w:val="333333"/>
        </w:rPr>
      </w:pPr>
    </w:p>
    <w:p>
      <w:pPr>
        <w:pStyle w:val="6"/>
        <w:spacing w:before="0" w:beforeAutospacing="0" w:after="0" w:afterAutospacing="0" w:line="360" w:lineRule="auto"/>
        <w:ind w:firstLine="465"/>
        <w:jc w:val="center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 xml:space="preserve"> </w:t>
      </w:r>
    </w:p>
    <w:p>
      <w:pPr>
        <w:pStyle w:val="6"/>
        <w:spacing w:before="0" w:beforeAutospacing="0" w:after="0" w:afterAutospacing="0" w:line="360" w:lineRule="auto"/>
        <w:ind w:firstLine="465"/>
        <w:jc w:val="center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 xml:space="preserve">                           </w:t>
      </w:r>
    </w:p>
    <w:p>
      <w:pPr>
        <w:pStyle w:val="6"/>
        <w:spacing w:before="0" w:beforeAutospacing="0" w:after="0" w:afterAutospacing="0" w:line="360" w:lineRule="auto"/>
        <w:ind w:firstLine="465"/>
        <w:jc w:val="center"/>
        <w:rPr>
          <w:rFonts w:ascii="仿宋" w:hAnsi="仿宋" w:eastAsia="仿宋"/>
          <w:color w:val="333333"/>
        </w:rPr>
      </w:pPr>
    </w:p>
    <w:p>
      <w:pPr>
        <w:pStyle w:val="6"/>
        <w:spacing w:before="240" w:beforeAutospacing="0" w:after="0" w:afterAutospacing="0" w:line="360" w:lineRule="auto"/>
        <w:ind w:firstLine="465"/>
        <w:jc w:val="center"/>
        <w:rPr>
          <w:rFonts w:ascii="仿宋" w:hAnsi="仿宋" w:eastAsia="仿宋"/>
          <w:b/>
          <w:color w:val="333333"/>
          <w:sz w:val="28"/>
          <w:szCs w:val="28"/>
        </w:rPr>
      </w:pPr>
      <w:r>
        <w:rPr>
          <w:rFonts w:hint="eastAsia" w:ascii="仿宋" w:hAnsi="仿宋" w:eastAsia="仿宋"/>
          <w:b/>
          <w:color w:val="333333"/>
          <w:sz w:val="28"/>
          <w:szCs w:val="28"/>
        </w:rPr>
        <w:t>知情同意书与承诺书</w:t>
      </w:r>
    </w:p>
    <w:p>
      <w:pPr>
        <w:pStyle w:val="6"/>
        <w:spacing w:before="240" w:beforeAutospacing="0" w:after="0" w:afterAutospacing="0" w:line="360" w:lineRule="auto"/>
        <w:ind w:firstLine="465"/>
        <w:jc w:val="both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>本人       ，身份证号                       已阅读并理解《告知书》的内容，知晓北京师范大学政府管理学院20</w:t>
      </w:r>
      <w:r>
        <w:rPr>
          <w:rFonts w:ascii="仿宋" w:hAnsi="仿宋" w:eastAsia="仿宋"/>
          <w:color w:val="333333"/>
        </w:rPr>
        <w:t>2</w:t>
      </w:r>
      <w:r>
        <w:rPr>
          <w:rFonts w:hint="eastAsia" w:ascii="仿宋" w:hAnsi="仿宋" w:eastAsia="仿宋"/>
          <w:color w:val="333333"/>
        </w:rPr>
        <w:t>2年非全日制公共管理专硕（MPA）的</w:t>
      </w:r>
      <w:r>
        <w:rPr>
          <w:rFonts w:hint="eastAsia" w:ascii="仿宋" w:hAnsi="仿宋" w:eastAsia="仿宋"/>
          <w:color w:val="333333"/>
          <w:lang w:val="en-US" w:eastAsia="zh-CN"/>
        </w:rPr>
        <w:t>学习年限</w:t>
      </w:r>
      <w:r>
        <w:rPr>
          <w:rFonts w:hint="eastAsia" w:ascii="仿宋" w:hAnsi="仿宋" w:eastAsia="仿宋"/>
          <w:color w:val="333333"/>
        </w:rPr>
        <w:t>、住宿、录取类别、学习方式、研究方向，以及毕业证书将注明非全日制学习方式等的安排。</w:t>
      </w:r>
    </w:p>
    <w:p>
      <w:pPr>
        <w:pStyle w:val="6"/>
        <w:spacing w:before="240" w:beforeAutospacing="0" w:after="0" w:afterAutospacing="0" w:line="360" w:lineRule="auto"/>
        <w:ind w:firstLine="465"/>
        <w:jc w:val="both"/>
        <w:rPr>
          <w:rFonts w:hint="eastAsia" w:ascii="仿宋" w:hAnsi="仿宋" w:eastAsia="仿宋"/>
          <w:color w:val="333333"/>
          <w:u w:val="none"/>
        </w:rPr>
      </w:pPr>
      <w:r>
        <w:rPr>
          <w:rFonts w:hint="eastAsia" w:ascii="仿宋" w:hAnsi="仿宋" w:eastAsia="仿宋"/>
          <w:color w:val="333333"/>
          <w:u w:val="none"/>
          <w:lang w:val="en-US" w:eastAsia="zh-CN"/>
        </w:rPr>
        <w:t>本人知晓</w:t>
      </w:r>
      <w:r>
        <w:rPr>
          <w:rFonts w:hint="eastAsia" w:ascii="仿宋" w:hAnsi="仿宋" w:eastAsia="仿宋" w:cs="宋体"/>
          <w:i w:val="0"/>
          <w:iCs w:val="0"/>
          <w:caps w:val="0"/>
          <w:color w:val="333333"/>
          <w:spacing w:val="0"/>
          <w:sz w:val="24"/>
          <w:szCs w:val="24"/>
          <w:u w:val="none"/>
          <w:vertAlign w:val="baseline"/>
        </w:rPr>
        <w:t>按照报考方向根据考生总成绩（初试成绩+复试成绩）从高到低依次录取。总成绩相同时，按初试总分从高到低依次录取。复试不合格考生不予录取。</w:t>
      </w:r>
    </w:p>
    <w:p>
      <w:pPr>
        <w:pStyle w:val="6"/>
        <w:spacing w:before="0" w:beforeAutospacing="0" w:after="0" w:afterAutospacing="0" w:line="360" w:lineRule="auto"/>
        <w:ind w:firstLine="465"/>
        <w:jc w:val="both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>本人承诺在资料审查阶段所提供的材料的真实性，若提供虚假材料影响录取，结果由本人承担。</w:t>
      </w:r>
    </w:p>
    <w:p>
      <w:pPr>
        <w:pStyle w:val="6"/>
        <w:spacing w:before="0" w:beforeAutospacing="0" w:after="0" w:afterAutospacing="0" w:line="360" w:lineRule="auto"/>
        <w:ind w:firstLine="465"/>
        <w:jc w:val="both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>本人承诺在面试过程中遵照面试规则，对面试过程中的题目严格保密，保证面试的公平性。</w:t>
      </w:r>
    </w:p>
    <w:p>
      <w:pPr>
        <w:pStyle w:val="6"/>
        <w:spacing w:before="0" w:beforeAutospacing="0" w:after="0" w:afterAutospacing="0" w:line="360" w:lineRule="auto"/>
        <w:ind w:firstLine="465"/>
        <w:jc w:val="both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>本人知晓并同意</w:t>
      </w:r>
      <w:r>
        <w:rPr>
          <w:rFonts w:hint="eastAsia" w:ascii="仿宋" w:hAnsi="仿宋" w:eastAsia="仿宋"/>
          <w:color w:val="333333"/>
        </w:rPr>
        <w:t>北京师范大学政府管理</w:t>
      </w:r>
      <w:r>
        <w:rPr>
          <w:rFonts w:ascii="仿宋" w:hAnsi="仿宋" w:eastAsia="仿宋"/>
          <w:color w:val="333333"/>
        </w:rPr>
        <w:t>学院</w:t>
      </w:r>
      <w:r>
        <w:rPr>
          <w:rFonts w:hint="eastAsia" w:ascii="仿宋" w:hAnsi="仿宋" w:eastAsia="仿宋"/>
          <w:color w:val="333333"/>
        </w:rPr>
        <w:t>MPA教育中心按招生要求对本次面试进行的全程录音录像。</w:t>
      </w:r>
    </w:p>
    <w:p>
      <w:pPr>
        <w:pStyle w:val="6"/>
        <w:spacing w:before="0" w:beforeAutospacing="0" w:after="0" w:afterAutospacing="0" w:line="360" w:lineRule="auto"/>
        <w:ind w:firstLine="465"/>
        <w:jc w:val="both"/>
        <w:rPr>
          <w:rFonts w:ascii="仿宋" w:hAnsi="仿宋" w:eastAsia="仿宋"/>
          <w:color w:val="333333"/>
        </w:rPr>
      </w:pPr>
    </w:p>
    <w:p>
      <w:pPr>
        <w:pStyle w:val="6"/>
        <w:spacing w:before="0" w:beforeAutospacing="0" w:after="0" w:afterAutospacing="0" w:line="360" w:lineRule="auto"/>
        <w:ind w:firstLine="465"/>
        <w:jc w:val="both"/>
        <w:rPr>
          <w:rFonts w:ascii="仿宋" w:hAnsi="仿宋" w:eastAsia="仿宋"/>
          <w:color w:val="333333"/>
        </w:rPr>
      </w:pPr>
    </w:p>
    <w:p>
      <w:pPr>
        <w:pStyle w:val="6"/>
        <w:spacing w:before="0" w:beforeAutospacing="0" w:after="0" w:afterAutospacing="0" w:line="360" w:lineRule="auto"/>
        <w:ind w:firstLine="465"/>
        <w:jc w:val="both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 xml:space="preserve">                                         签名：    </w:t>
      </w:r>
    </w:p>
    <w:p>
      <w:pPr>
        <w:pStyle w:val="6"/>
        <w:spacing w:before="0" w:beforeAutospacing="0" w:after="0" w:afterAutospacing="0" w:line="360" w:lineRule="auto"/>
        <w:ind w:firstLine="465"/>
        <w:jc w:val="both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 xml:space="preserve">                                         联系方式：</w:t>
      </w:r>
    </w:p>
    <w:p>
      <w:pPr>
        <w:pStyle w:val="6"/>
        <w:spacing w:before="0" w:beforeAutospacing="0" w:after="0" w:afterAutospacing="0" w:line="360" w:lineRule="auto"/>
        <w:ind w:firstLine="465"/>
        <w:jc w:val="both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 xml:space="preserve">                                                    年   月   日</w:t>
      </w:r>
    </w:p>
    <w:p>
      <w:pPr>
        <w:pStyle w:val="6"/>
        <w:spacing w:before="0" w:beforeAutospacing="0" w:after="0" w:afterAutospacing="0" w:line="360" w:lineRule="auto"/>
        <w:ind w:firstLine="465"/>
        <w:jc w:val="both"/>
        <w:rPr>
          <w:rFonts w:ascii="仿宋" w:hAnsi="仿宋" w:eastAsia="仿宋"/>
          <w:color w:val="333333"/>
        </w:rPr>
      </w:pPr>
    </w:p>
    <w:p>
      <w:pPr>
        <w:pStyle w:val="6"/>
        <w:spacing w:before="0" w:beforeAutospacing="0" w:after="0" w:afterAutospacing="0" w:line="360" w:lineRule="auto"/>
        <w:ind w:firstLine="465"/>
        <w:jc w:val="both"/>
        <w:rPr>
          <w:rFonts w:ascii="仿宋" w:hAnsi="仿宋" w:eastAsia="仿宋"/>
          <w:color w:val="333333"/>
        </w:rPr>
      </w:pPr>
    </w:p>
    <w:p>
      <w:pPr>
        <w:pStyle w:val="6"/>
        <w:spacing w:before="0" w:beforeAutospacing="0" w:after="0" w:afterAutospacing="0" w:line="360" w:lineRule="auto"/>
        <w:ind w:firstLine="465"/>
        <w:jc w:val="both"/>
        <w:rPr>
          <w:rFonts w:ascii="仿宋" w:hAnsi="仿宋" w:eastAsia="仿宋"/>
          <w:color w:val="333333"/>
        </w:rPr>
      </w:pPr>
    </w:p>
    <w:p>
      <w:pPr>
        <w:pStyle w:val="6"/>
        <w:spacing w:before="0" w:beforeAutospacing="0" w:after="0" w:afterAutospacing="0" w:line="360" w:lineRule="auto"/>
        <w:ind w:firstLine="465"/>
        <w:jc w:val="both"/>
        <w:rPr>
          <w:rFonts w:ascii="仿宋" w:hAnsi="仿宋" w:eastAsia="仿宋"/>
          <w:color w:val="333333"/>
        </w:rPr>
      </w:pPr>
    </w:p>
    <w:sectPr>
      <w:pgSz w:w="11906" w:h="16838"/>
      <w:pgMar w:top="720" w:right="1416" w:bottom="72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trackRevisions w:val="1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184562"/>
    <w:rsid w:val="000128A5"/>
    <w:rsid w:val="00014E8C"/>
    <w:rsid w:val="0001540E"/>
    <w:rsid w:val="00023F24"/>
    <w:rsid w:val="0009392D"/>
    <w:rsid w:val="00094F98"/>
    <w:rsid w:val="00095E7B"/>
    <w:rsid w:val="000B7FCD"/>
    <w:rsid w:val="001073D8"/>
    <w:rsid w:val="001406B4"/>
    <w:rsid w:val="0014333B"/>
    <w:rsid w:val="00151BFE"/>
    <w:rsid w:val="001528A6"/>
    <w:rsid w:val="00184562"/>
    <w:rsid w:val="001B082E"/>
    <w:rsid w:val="001C3511"/>
    <w:rsid w:val="001E1180"/>
    <w:rsid w:val="001E4B5D"/>
    <w:rsid w:val="00202490"/>
    <w:rsid w:val="00212A01"/>
    <w:rsid w:val="002403E9"/>
    <w:rsid w:val="00261184"/>
    <w:rsid w:val="002916AA"/>
    <w:rsid w:val="002A0AD0"/>
    <w:rsid w:val="002B314F"/>
    <w:rsid w:val="002C3B72"/>
    <w:rsid w:val="0030476A"/>
    <w:rsid w:val="0033636F"/>
    <w:rsid w:val="003523E9"/>
    <w:rsid w:val="00352D83"/>
    <w:rsid w:val="00362E64"/>
    <w:rsid w:val="003A68A0"/>
    <w:rsid w:val="003D57A0"/>
    <w:rsid w:val="003F7312"/>
    <w:rsid w:val="00445E3C"/>
    <w:rsid w:val="004516BC"/>
    <w:rsid w:val="004D6899"/>
    <w:rsid w:val="004E7C4A"/>
    <w:rsid w:val="004F4486"/>
    <w:rsid w:val="00501F5A"/>
    <w:rsid w:val="005406CB"/>
    <w:rsid w:val="005463AF"/>
    <w:rsid w:val="00551B8D"/>
    <w:rsid w:val="005648EE"/>
    <w:rsid w:val="00577CE1"/>
    <w:rsid w:val="00582829"/>
    <w:rsid w:val="005926C4"/>
    <w:rsid w:val="0059578E"/>
    <w:rsid w:val="005A4CA6"/>
    <w:rsid w:val="005F1A15"/>
    <w:rsid w:val="006126C1"/>
    <w:rsid w:val="00636A0C"/>
    <w:rsid w:val="0064396D"/>
    <w:rsid w:val="0068270B"/>
    <w:rsid w:val="006F6722"/>
    <w:rsid w:val="006F68D1"/>
    <w:rsid w:val="00735E67"/>
    <w:rsid w:val="00735EF4"/>
    <w:rsid w:val="007431D8"/>
    <w:rsid w:val="00745049"/>
    <w:rsid w:val="0077781A"/>
    <w:rsid w:val="00783242"/>
    <w:rsid w:val="007A509A"/>
    <w:rsid w:val="007A7770"/>
    <w:rsid w:val="007D679C"/>
    <w:rsid w:val="0082459B"/>
    <w:rsid w:val="008252E2"/>
    <w:rsid w:val="008300DD"/>
    <w:rsid w:val="00854C03"/>
    <w:rsid w:val="008559BF"/>
    <w:rsid w:val="00877D14"/>
    <w:rsid w:val="00882B82"/>
    <w:rsid w:val="00897E1D"/>
    <w:rsid w:val="008B1CC2"/>
    <w:rsid w:val="008C2B8C"/>
    <w:rsid w:val="008C716B"/>
    <w:rsid w:val="008E053D"/>
    <w:rsid w:val="009132D6"/>
    <w:rsid w:val="00916E40"/>
    <w:rsid w:val="00932A71"/>
    <w:rsid w:val="00942C73"/>
    <w:rsid w:val="0095273E"/>
    <w:rsid w:val="009831C6"/>
    <w:rsid w:val="009A5ED5"/>
    <w:rsid w:val="009B6057"/>
    <w:rsid w:val="009D73DC"/>
    <w:rsid w:val="009F208D"/>
    <w:rsid w:val="009F4456"/>
    <w:rsid w:val="009F4CF0"/>
    <w:rsid w:val="009F7B36"/>
    <w:rsid w:val="00A02592"/>
    <w:rsid w:val="00A02FC2"/>
    <w:rsid w:val="00A41CD7"/>
    <w:rsid w:val="00A60076"/>
    <w:rsid w:val="00AB616E"/>
    <w:rsid w:val="00AC7655"/>
    <w:rsid w:val="00B00C5A"/>
    <w:rsid w:val="00B03C66"/>
    <w:rsid w:val="00B70778"/>
    <w:rsid w:val="00BD7C8A"/>
    <w:rsid w:val="00BD7E06"/>
    <w:rsid w:val="00C11411"/>
    <w:rsid w:val="00C16E2C"/>
    <w:rsid w:val="00C354A5"/>
    <w:rsid w:val="00C514B3"/>
    <w:rsid w:val="00C5271A"/>
    <w:rsid w:val="00C56059"/>
    <w:rsid w:val="00C843A7"/>
    <w:rsid w:val="00CB1B3C"/>
    <w:rsid w:val="00CD51D5"/>
    <w:rsid w:val="00CD6787"/>
    <w:rsid w:val="00D0169A"/>
    <w:rsid w:val="00D26209"/>
    <w:rsid w:val="00D82EB3"/>
    <w:rsid w:val="00D97BD2"/>
    <w:rsid w:val="00DB4211"/>
    <w:rsid w:val="00DF113A"/>
    <w:rsid w:val="00DF4C6D"/>
    <w:rsid w:val="00DF640B"/>
    <w:rsid w:val="00E103E8"/>
    <w:rsid w:val="00E23B3B"/>
    <w:rsid w:val="00E33B73"/>
    <w:rsid w:val="00E62FF8"/>
    <w:rsid w:val="00E73371"/>
    <w:rsid w:val="00EB3CBF"/>
    <w:rsid w:val="00EC26A5"/>
    <w:rsid w:val="00ED1AF7"/>
    <w:rsid w:val="00EF0D94"/>
    <w:rsid w:val="00F12224"/>
    <w:rsid w:val="00F50BE8"/>
    <w:rsid w:val="00F51886"/>
    <w:rsid w:val="00FA6BB7"/>
    <w:rsid w:val="00FC50A7"/>
    <w:rsid w:val="00FD36A0"/>
    <w:rsid w:val="0C3D535A"/>
    <w:rsid w:val="14103A0E"/>
    <w:rsid w:val="14353475"/>
    <w:rsid w:val="15D65F70"/>
    <w:rsid w:val="185171A9"/>
    <w:rsid w:val="19637AB8"/>
    <w:rsid w:val="1985197C"/>
    <w:rsid w:val="1ECC0E79"/>
    <w:rsid w:val="23BD5235"/>
    <w:rsid w:val="25A0096A"/>
    <w:rsid w:val="2A810D6A"/>
    <w:rsid w:val="2F9B3407"/>
    <w:rsid w:val="305036DB"/>
    <w:rsid w:val="340A0022"/>
    <w:rsid w:val="35103416"/>
    <w:rsid w:val="4B09298A"/>
    <w:rsid w:val="52500E9E"/>
    <w:rsid w:val="557C1A24"/>
    <w:rsid w:val="5A8516A2"/>
    <w:rsid w:val="702E7DD9"/>
    <w:rsid w:val="717C5C82"/>
    <w:rsid w:val="7D383BF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uiPriority w:val="99"/>
    <w:pPr>
      <w:jc w:val="left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annotation subject"/>
    <w:basedOn w:val="2"/>
    <w:next w:val="2"/>
    <w:link w:val="15"/>
    <w:semiHidden/>
    <w:unhideWhenUsed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4">
    <w:name w:val="批注文字 字符"/>
    <w:basedOn w:val="9"/>
    <w:link w:val="2"/>
    <w:semiHidden/>
    <w:uiPriority w:val="99"/>
    <w:rPr>
      <w:kern w:val="2"/>
      <w:sz w:val="21"/>
      <w:szCs w:val="22"/>
    </w:rPr>
  </w:style>
  <w:style w:type="character" w:customStyle="1" w:styleId="15">
    <w:name w:val="批注主题 字符"/>
    <w:basedOn w:val="14"/>
    <w:link w:val="7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2</Pages>
  <Words>144</Words>
  <Characters>823</Characters>
  <Lines>6</Lines>
  <Paragraphs>1</Paragraphs>
  <TotalTime>141</TotalTime>
  <ScaleCrop>false</ScaleCrop>
  <LinksUpToDate>false</LinksUpToDate>
  <CharactersWithSpaces>966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2015-03-07T06:29:00Z</dcterms:created>
  <dc:creator>hp</dc:creator>
  <cp:lastModifiedBy>密斯小小鸟</cp:lastModifiedBy>
  <cp:lastPrinted>2020-05-06T05:51:00Z</cp:lastPrinted>
  <dcterms:modified xsi:type="dcterms:W3CDTF">2022-03-16T08:34:45Z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F0ED1C6F07FE47119313A96DF54291C3</vt:lpwstr>
  </property>
</Properties>
</file>